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6031" w14:textId="3BB4D430" w:rsidR="00852A77" w:rsidRPr="00F71365" w:rsidRDefault="00852A77" w:rsidP="00F71365">
      <w:pPr>
        <w:pStyle w:val="Title"/>
        <w:rPr>
          <w:rFonts w:ascii="Franklin Gothic Demi Cond" w:eastAsia="Garamond" w:hAnsi="Franklin Gothic Demi Cond" w:cs="Garamond"/>
          <w:b w:val="0"/>
          <w:bCs/>
          <w:color w:val="222222"/>
          <w:sz w:val="32"/>
          <w:highlight w:val="white"/>
        </w:rPr>
      </w:pPr>
      <w:r w:rsidRPr="00F71365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F71365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Pr="00F71365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Course Guide – ENG 123 (Composition II)</w:t>
      </w:r>
    </w:p>
    <w:p w14:paraId="233CFC8C" w14:textId="77777777" w:rsidR="00F71365" w:rsidRPr="00433EEE" w:rsidRDefault="00F71365" w:rsidP="00F71365">
      <w:pPr>
        <w:rPr>
          <w:rFonts w:ascii="Times New Roman Bold" w:eastAsia="Garamond" w:hAnsi="Times New Roman Bold" w:cs="Garamond"/>
          <w:bCs/>
          <w:sz w:val="22"/>
        </w:rPr>
      </w:pPr>
    </w:p>
    <w:p w14:paraId="3E2B998D" w14:textId="77777777" w:rsidR="00852A77" w:rsidRPr="00AE300C" w:rsidRDefault="00852A77" w:rsidP="00852A7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29AE7BC2" w14:textId="14AD7590" w:rsidR="00852A77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This course is </w:t>
      </w:r>
      <w:r w:rsidR="00C667B9">
        <w:rPr>
          <w:rFonts w:ascii="Times New Roman" w:eastAsia="Garamond" w:hAnsi="Times New Roman" w:cs="Garamond"/>
        </w:rPr>
        <w:t xml:space="preserve">designed to teach the learner skills in writing, critical reading, </w:t>
      </w:r>
      <w:r w:rsidR="006874DA">
        <w:rPr>
          <w:rFonts w:ascii="Times New Roman" w:eastAsia="Garamond" w:hAnsi="Times New Roman" w:cs="Garamond"/>
        </w:rPr>
        <w:t xml:space="preserve">and </w:t>
      </w:r>
      <w:r w:rsidR="00C667B9">
        <w:rPr>
          <w:rFonts w:ascii="Times New Roman" w:eastAsia="Garamond" w:hAnsi="Times New Roman" w:cs="Garamond"/>
        </w:rPr>
        <w:t>thinking</w:t>
      </w:r>
      <w:r w:rsidR="00457151">
        <w:rPr>
          <w:rFonts w:ascii="Times New Roman" w:eastAsia="Garamond" w:hAnsi="Times New Roman" w:cs="Garamond"/>
        </w:rPr>
        <w:t xml:space="preserve">, culminating in a </w:t>
      </w:r>
      <w:r w:rsidR="00A24FA3">
        <w:rPr>
          <w:rFonts w:ascii="Times New Roman" w:eastAsia="Garamond" w:hAnsi="Times New Roman" w:cs="Garamond"/>
        </w:rPr>
        <w:t xml:space="preserve">1500-word </w:t>
      </w:r>
      <w:r w:rsidR="00457151">
        <w:rPr>
          <w:rFonts w:ascii="Times New Roman" w:eastAsia="Garamond" w:hAnsi="Times New Roman" w:cs="Garamond"/>
        </w:rPr>
        <w:t xml:space="preserve">literary </w:t>
      </w:r>
      <w:r w:rsidR="00426D27">
        <w:rPr>
          <w:rFonts w:ascii="Times New Roman" w:eastAsia="Garamond" w:hAnsi="Times New Roman" w:cs="Garamond"/>
        </w:rPr>
        <w:t xml:space="preserve">analysis </w:t>
      </w:r>
      <w:r w:rsidR="00457151">
        <w:rPr>
          <w:rFonts w:ascii="Times New Roman" w:eastAsia="Garamond" w:hAnsi="Times New Roman" w:cs="Garamond"/>
        </w:rPr>
        <w:t>research paper</w:t>
      </w:r>
      <w:r w:rsidR="00A24FA3">
        <w:rPr>
          <w:rFonts w:ascii="Times New Roman" w:eastAsia="Garamond" w:hAnsi="Times New Roman" w:cs="Garamond"/>
        </w:rPr>
        <w:t xml:space="preserve"> in MLA format</w:t>
      </w:r>
      <w:r w:rsidR="00457151">
        <w:rPr>
          <w:rFonts w:ascii="Times New Roman" w:eastAsia="Garamond" w:hAnsi="Times New Roman" w:cs="Garamond"/>
        </w:rPr>
        <w:t>.</w:t>
      </w:r>
      <w:r w:rsidR="00A944B0">
        <w:rPr>
          <w:rFonts w:ascii="Times New Roman" w:eastAsia="Garamond" w:hAnsi="Times New Roman" w:cs="Garamond"/>
        </w:rPr>
        <w:t xml:space="preserve">  The student </w:t>
      </w:r>
      <w:r w:rsidR="005E58C1">
        <w:rPr>
          <w:rFonts w:ascii="Times New Roman" w:eastAsia="Garamond" w:hAnsi="Times New Roman" w:cs="Garamond"/>
        </w:rPr>
        <w:t xml:space="preserve">also </w:t>
      </w:r>
      <w:r w:rsidR="00A944B0">
        <w:rPr>
          <w:rFonts w:ascii="Times New Roman" w:eastAsia="Garamond" w:hAnsi="Times New Roman" w:cs="Garamond"/>
        </w:rPr>
        <w:t xml:space="preserve">reads many different examples of classic literature that give effective examples of how to persuade, teach, and </w:t>
      </w:r>
      <w:r w:rsidR="00277429">
        <w:rPr>
          <w:rFonts w:ascii="Times New Roman" w:eastAsia="Garamond" w:hAnsi="Times New Roman" w:cs="Garamond"/>
        </w:rPr>
        <w:t xml:space="preserve">present </w:t>
      </w:r>
      <w:r w:rsidR="00086E7B">
        <w:rPr>
          <w:rFonts w:ascii="Times New Roman" w:eastAsia="Garamond" w:hAnsi="Times New Roman" w:cs="Garamond"/>
        </w:rPr>
        <w:t>ideas</w:t>
      </w:r>
      <w:r w:rsidR="00277429">
        <w:rPr>
          <w:rFonts w:ascii="Times New Roman" w:eastAsia="Garamond" w:hAnsi="Times New Roman" w:cs="Garamond"/>
        </w:rPr>
        <w:t>.</w:t>
      </w:r>
      <w:r w:rsidR="00400DE7" w:rsidRPr="00400DE7">
        <w:rPr>
          <w:rFonts w:ascii="Times New Roman" w:eastAsia="Garamond" w:hAnsi="Times New Roman" w:cs="Garamond"/>
        </w:rPr>
        <w:t xml:space="preserve"> </w:t>
      </w:r>
      <w:r w:rsidR="00400DE7" w:rsidRPr="00E040A1">
        <w:rPr>
          <w:rFonts w:ascii="Times New Roman" w:eastAsia="Garamond" w:hAnsi="Times New Roman" w:cs="Garamond"/>
        </w:rPr>
        <w:t xml:space="preserve">Some </w:t>
      </w:r>
      <w:proofErr w:type="spellStart"/>
      <w:r w:rsidR="00400DE7" w:rsidRPr="00E040A1">
        <w:rPr>
          <w:rFonts w:ascii="Times New Roman" w:eastAsia="Garamond" w:hAnsi="Times New Roman" w:cs="Garamond"/>
        </w:rPr>
        <w:t>atten</w:t>
      </w:r>
      <w:r w:rsidR="00480484">
        <w:rPr>
          <w:rFonts w:ascii="Times New Roman" w:eastAsia="Garamond" w:hAnsi="Times New Roman" w:cs="Garamond"/>
        </w:rPr>
        <w:t>-</w:t>
      </w:r>
      <w:r w:rsidR="00400DE7" w:rsidRPr="00E040A1">
        <w:rPr>
          <w:rFonts w:ascii="Times New Roman" w:eastAsia="Garamond" w:hAnsi="Times New Roman" w:cs="Garamond"/>
        </w:rPr>
        <w:t>tion</w:t>
      </w:r>
      <w:proofErr w:type="spellEnd"/>
      <w:r w:rsidR="00400DE7" w:rsidRPr="00E040A1">
        <w:rPr>
          <w:rFonts w:ascii="Times New Roman" w:eastAsia="Garamond" w:hAnsi="Times New Roman" w:cs="Garamond"/>
        </w:rPr>
        <w:t xml:space="preserve"> is given to the basics of grammar, spelling, parts of speech, sentence structure</w:t>
      </w:r>
      <w:r w:rsidR="00400DE7">
        <w:rPr>
          <w:rFonts w:ascii="Times New Roman" w:eastAsia="Garamond" w:hAnsi="Times New Roman" w:cs="Garamond"/>
        </w:rPr>
        <w:t>,</w:t>
      </w:r>
      <w:r w:rsidR="00400DE7" w:rsidRPr="00E040A1">
        <w:rPr>
          <w:rFonts w:ascii="Times New Roman" w:eastAsia="Garamond" w:hAnsi="Times New Roman" w:cs="Garamond"/>
        </w:rPr>
        <w:t xml:space="preserve"> and punctuation. Assign</w:t>
      </w:r>
      <w:r w:rsidR="00480484">
        <w:rPr>
          <w:rFonts w:ascii="Times New Roman" w:eastAsia="Garamond" w:hAnsi="Times New Roman" w:cs="Garamond"/>
        </w:rPr>
        <w:t>-</w:t>
      </w:r>
      <w:proofErr w:type="spellStart"/>
      <w:r w:rsidR="00400DE7" w:rsidRPr="00E040A1">
        <w:rPr>
          <w:rFonts w:ascii="Times New Roman" w:eastAsia="Garamond" w:hAnsi="Times New Roman" w:cs="Garamond"/>
        </w:rPr>
        <w:t>ments</w:t>
      </w:r>
      <w:proofErr w:type="spellEnd"/>
      <w:r w:rsidR="00400DE7" w:rsidRPr="00E040A1">
        <w:rPr>
          <w:rFonts w:ascii="Times New Roman" w:eastAsia="Garamond" w:hAnsi="Times New Roman" w:cs="Garamond"/>
        </w:rPr>
        <w:t xml:space="preserve"> are designed to help the student read discerningly, think logically, and write accurately.</w:t>
      </w:r>
      <w:r w:rsidR="00400DE7">
        <w:rPr>
          <w:rFonts w:ascii="Times New Roman" w:eastAsia="Garamond" w:hAnsi="Times New Roman" w:cs="Garamond"/>
        </w:rPr>
        <w:t xml:space="preserve">  Students read approximately 250,000 words.</w:t>
      </w:r>
    </w:p>
    <w:p w14:paraId="1A4F5563" w14:textId="77777777" w:rsidR="00F71365" w:rsidRPr="00433EEE" w:rsidRDefault="00F71365" w:rsidP="00F71365">
      <w:pPr>
        <w:rPr>
          <w:rFonts w:ascii="Times New Roman Bold" w:eastAsia="Garamond" w:hAnsi="Times New Roman Bold" w:cs="Garamond"/>
          <w:bCs/>
          <w:sz w:val="22"/>
        </w:rPr>
      </w:pPr>
    </w:p>
    <w:p w14:paraId="2373FF38" w14:textId="77777777" w:rsidR="002F23BC" w:rsidRPr="00AE300C" w:rsidRDefault="002F23BC" w:rsidP="002F23BC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Required Text</w:t>
      </w:r>
      <w:r>
        <w:rPr>
          <w:rFonts w:ascii="Franklin Gothic Demi Cond" w:eastAsia="Garamond" w:hAnsi="Franklin Gothic Demi Cond" w:cs="Garamond"/>
          <w:sz w:val="26"/>
        </w:rPr>
        <w:t>s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21B7261A" w14:textId="77777777" w:rsidR="0056286C" w:rsidRDefault="002F23BC" w:rsidP="002F23BC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Classic Literature for Christian Homeschoolers</w:t>
      </w:r>
      <w:r w:rsidR="0056286C">
        <w:rPr>
          <w:rFonts w:ascii="Times New Roman" w:eastAsia="Garamond" w:hAnsi="Times New Roman" w:cs="Garamond"/>
        </w:rPr>
        <w:t>, Scott Clifton, Editor:</w:t>
      </w:r>
    </w:p>
    <w:p w14:paraId="3412C7A2" w14:textId="1DD7F268" w:rsidR="002F23BC" w:rsidRDefault="002F23BC" w:rsidP="0056286C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1: Classic Mysteries</w:t>
      </w:r>
    </w:p>
    <w:p w14:paraId="4F8165D8" w14:textId="1637868A" w:rsidR="002F23BC" w:rsidRDefault="002F23BC" w:rsidP="002F23BC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2: Science Fiction Classics</w:t>
      </w:r>
    </w:p>
    <w:p w14:paraId="322D0110" w14:textId="4FA0230E" w:rsidR="002F23BC" w:rsidRDefault="002F23BC" w:rsidP="002F23BC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E520C3">
        <w:rPr>
          <w:rFonts w:ascii="Times New Roman" w:eastAsia="Garamond" w:hAnsi="Times New Roman" w:cs="Garamond"/>
          <w:i/>
          <w:iCs/>
        </w:rPr>
        <w:t>3</w:t>
      </w:r>
      <w:r>
        <w:rPr>
          <w:rFonts w:ascii="Times New Roman" w:eastAsia="Garamond" w:hAnsi="Times New Roman" w:cs="Garamond"/>
          <w:i/>
          <w:iCs/>
        </w:rPr>
        <w:t>: Classic Tales</w:t>
      </w:r>
    </w:p>
    <w:p w14:paraId="038E8461" w14:textId="642696D1" w:rsidR="002F23BC" w:rsidRDefault="002F23BC" w:rsidP="002F23BC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E520C3">
        <w:rPr>
          <w:rFonts w:ascii="Times New Roman" w:eastAsia="Garamond" w:hAnsi="Times New Roman" w:cs="Garamond"/>
          <w:i/>
          <w:iCs/>
        </w:rPr>
        <w:t>4</w:t>
      </w:r>
      <w:r>
        <w:rPr>
          <w:rFonts w:ascii="Times New Roman" w:eastAsia="Garamond" w:hAnsi="Times New Roman" w:cs="Garamond"/>
          <w:i/>
          <w:iCs/>
        </w:rPr>
        <w:t>: Short Story Classics</w:t>
      </w:r>
    </w:p>
    <w:p w14:paraId="698A5ED6" w14:textId="010DC8B9" w:rsidR="00852A77" w:rsidRPr="00651A9E" w:rsidRDefault="002F23BC" w:rsidP="009A609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The Elements of Style</w:t>
      </w:r>
      <w:r>
        <w:rPr>
          <w:rFonts w:ascii="Times New Roman" w:eastAsia="Garamond" w:hAnsi="Times New Roman" w:cs="Garamond"/>
        </w:rPr>
        <w:t xml:space="preserve">, William Strunk </w:t>
      </w:r>
      <w:r w:rsidR="0056286C">
        <w:rPr>
          <w:rFonts w:ascii="Times New Roman" w:eastAsia="Garamond" w:hAnsi="Times New Roman" w:cs="Garamond"/>
        </w:rPr>
        <w:t>(provided)</w:t>
      </w:r>
    </w:p>
    <w:p w14:paraId="3B683D56" w14:textId="77777777" w:rsidR="00F71365" w:rsidRPr="00433EEE" w:rsidRDefault="00F71365" w:rsidP="00F71365">
      <w:pPr>
        <w:rPr>
          <w:rFonts w:ascii="Times New Roman Bold" w:eastAsia="Garamond" w:hAnsi="Times New Roman Bold" w:cs="Garamond"/>
          <w:bCs/>
          <w:sz w:val="22"/>
        </w:rPr>
      </w:pPr>
    </w:p>
    <w:p w14:paraId="4E8B19D7" w14:textId="79E455B9" w:rsidR="00852A77" w:rsidRPr="00AE300C" w:rsidRDefault="00852A77" w:rsidP="00852A7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(List of Principal Topics):</w:t>
      </w:r>
    </w:p>
    <w:p w14:paraId="496B30D6" w14:textId="785C76EE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1958F9">
        <w:rPr>
          <w:rFonts w:ascii="Times New Roman" w:eastAsia="Garamond" w:hAnsi="Times New Roman" w:cs="Garamond"/>
        </w:rPr>
        <w:t>Writing Review: Setup, Proofreading, Revision</w:t>
      </w:r>
    </w:p>
    <w:p w14:paraId="303D5284" w14:textId="6AF63263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1958F9">
        <w:rPr>
          <w:rFonts w:ascii="Times New Roman" w:eastAsia="Garamond" w:hAnsi="Times New Roman" w:cs="Garamond"/>
        </w:rPr>
        <w:t>Persuasive Essay</w:t>
      </w:r>
    </w:p>
    <w:p w14:paraId="3B936473" w14:textId="3AEA4DB6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1958F9">
        <w:rPr>
          <w:rFonts w:ascii="Times New Roman" w:eastAsia="Garamond" w:hAnsi="Times New Roman" w:cs="Garamond"/>
        </w:rPr>
        <w:t>Editing Written Arguments</w:t>
      </w:r>
      <w:r w:rsidR="003F355B">
        <w:rPr>
          <w:rFonts w:ascii="Times New Roman" w:eastAsia="Garamond" w:hAnsi="Times New Roman" w:cs="Garamond"/>
        </w:rPr>
        <w:t xml:space="preserve"> </w:t>
      </w:r>
    </w:p>
    <w:p w14:paraId="20816918" w14:textId="281D9BCC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2476EE">
        <w:rPr>
          <w:rFonts w:ascii="Times New Roman" w:eastAsia="Garamond" w:hAnsi="Times New Roman" w:cs="Garamond"/>
        </w:rPr>
        <w:t>Opinion Piece (“Op-Ed”) Essay Overview and Writing</w:t>
      </w:r>
    </w:p>
    <w:p w14:paraId="1FA984FA" w14:textId="6B1992DC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5: </w:t>
      </w:r>
      <w:r w:rsidR="002476EE">
        <w:rPr>
          <w:rFonts w:ascii="Times New Roman" w:eastAsia="Garamond" w:hAnsi="Times New Roman" w:cs="Garamond"/>
        </w:rPr>
        <w:t>Newspaper Writing Overview</w:t>
      </w:r>
    </w:p>
    <w:p w14:paraId="455F3AB2" w14:textId="5112EC3B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6: </w:t>
      </w:r>
      <w:r w:rsidR="002476EE">
        <w:rPr>
          <w:rFonts w:ascii="Times New Roman" w:eastAsia="Garamond" w:hAnsi="Times New Roman" w:cs="Garamond"/>
        </w:rPr>
        <w:t>News Article Essay and Revision</w:t>
      </w:r>
    </w:p>
    <w:p w14:paraId="715B8A44" w14:textId="52D354EE" w:rsidR="00852A77" w:rsidRPr="00E040A1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3A2A60">
        <w:rPr>
          <w:rFonts w:ascii="Times New Roman" w:eastAsia="Garamond" w:hAnsi="Times New Roman" w:cs="Garamond"/>
        </w:rPr>
        <w:t>Research Essay Intro, Topic Selection, Source Gathering, and Draft</w:t>
      </w:r>
    </w:p>
    <w:p w14:paraId="5FD4371B" w14:textId="38E3A09E" w:rsidR="00852A77" w:rsidRDefault="00852A77" w:rsidP="00852A77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711E37">
        <w:rPr>
          <w:rFonts w:ascii="Times New Roman" w:eastAsia="Garamond" w:hAnsi="Times New Roman" w:cs="Garamond"/>
        </w:rPr>
        <w:t>Research Essay Revision, Formatting, Final Draft</w:t>
      </w:r>
    </w:p>
    <w:p w14:paraId="03D1F081" w14:textId="77777777" w:rsidR="00F71365" w:rsidRPr="00433EEE" w:rsidRDefault="00F71365" w:rsidP="00F71365">
      <w:pPr>
        <w:rPr>
          <w:rFonts w:ascii="Times New Roman Bold" w:eastAsia="Garamond" w:hAnsi="Times New Roman Bold" w:cs="Garamond"/>
          <w:bCs/>
          <w:sz w:val="22"/>
        </w:rPr>
      </w:pPr>
    </w:p>
    <w:p w14:paraId="67CB7798" w14:textId="77777777" w:rsidR="00852A77" w:rsidRPr="00AE300C" w:rsidRDefault="00852A77" w:rsidP="00852A7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03B7DF0F" w14:textId="77777777" w:rsidR="00852A77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Critically evaluate and interpret a variety of classic literature genres and texts.</w:t>
      </w:r>
    </w:p>
    <w:p w14:paraId="3FF4F7F3" w14:textId="77777777" w:rsidR="00852A77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Pr="00E040A1">
        <w:rPr>
          <w:rFonts w:ascii="Times New Roman" w:eastAsia="Garamond" w:hAnsi="Times New Roman" w:cs="Garamond"/>
          <w:color w:val="000000"/>
          <w:szCs w:val="24"/>
        </w:rPr>
        <w:t>emonstrate understanding of the various contexts (social, political, cultural, and historical) that influence literary and other texts.</w:t>
      </w:r>
    </w:p>
    <w:p w14:paraId="33D8F347" w14:textId="4984324A" w:rsidR="00852A77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Produce college-level writing pieces that demonstrate understanding of texts and ideas offered</w:t>
      </w:r>
      <w:r w:rsidR="004113AF">
        <w:rPr>
          <w:rFonts w:ascii="Times New Roman" w:eastAsia="Garamond" w:hAnsi="Times New Roman" w:cs="Garamond"/>
          <w:color w:val="000000"/>
          <w:szCs w:val="24"/>
        </w:rPr>
        <w:t>, while effectively present the student’s own thoughts and original ideas</w:t>
      </w:r>
      <w:r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4F9C801" w14:textId="77777777" w:rsidR="00852A77" w:rsidRPr="00E040A1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Practice proofreading, editing, and revising using established grammar and usage rules.</w:t>
      </w:r>
    </w:p>
    <w:p w14:paraId="1D7AA6B5" w14:textId="53771FD2" w:rsidR="00852A77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S</w:t>
      </w:r>
      <w:r w:rsidRPr="00E040A1">
        <w:rPr>
          <w:rFonts w:ascii="Times New Roman" w:eastAsia="Garamond" w:hAnsi="Times New Roman" w:cs="Garamond"/>
          <w:color w:val="000000"/>
          <w:szCs w:val="24"/>
        </w:rPr>
        <w:t xml:space="preserve">elect appropriate sources using the library and electronic resources to produce </w:t>
      </w:r>
      <w:r w:rsidR="005F687A">
        <w:rPr>
          <w:rFonts w:ascii="Times New Roman" w:eastAsia="Garamond" w:hAnsi="Times New Roman" w:cs="Garamond"/>
          <w:color w:val="000000"/>
          <w:szCs w:val="24"/>
        </w:rPr>
        <w:t xml:space="preserve">(among other writing pieces) an </w:t>
      </w:r>
      <w:r w:rsidRPr="00E040A1">
        <w:rPr>
          <w:rFonts w:ascii="Times New Roman" w:eastAsia="Garamond" w:hAnsi="Times New Roman" w:cs="Garamond"/>
          <w:color w:val="000000"/>
          <w:szCs w:val="24"/>
        </w:rPr>
        <w:t>academic paper in formal MLA documentation.</w:t>
      </w:r>
    </w:p>
    <w:p w14:paraId="055A2727" w14:textId="77777777" w:rsidR="00852A77" w:rsidRPr="00E040A1" w:rsidRDefault="00852A77" w:rsidP="0085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worldview.</w:t>
      </w:r>
    </w:p>
    <w:p w14:paraId="6E9CBBE3" w14:textId="77777777" w:rsidR="00852A77" w:rsidRPr="00F71365" w:rsidRDefault="00852A77" w:rsidP="00F71365">
      <w:pPr>
        <w:rPr>
          <w:rFonts w:ascii="Times New Roman" w:eastAsia="Garamond" w:hAnsi="Times New Roman" w:cs="Garamond"/>
          <w:sz w:val="22"/>
        </w:rPr>
      </w:pPr>
    </w:p>
    <w:p w14:paraId="0DE0E090" w14:textId="77777777" w:rsidR="00852A77" w:rsidRPr="00E040A1" w:rsidRDefault="00852A77" w:rsidP="00852A77">
      <w:pPr>
        <w:spacing w:after="60"/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tbl>
      <w:tblPr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852A77" w:rsidRPr="00E040A1" w14:paraId="6ADCB23B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B9C6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A305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852A77" w:rsidRPr="00E040A1" w14:paraId="0EF15C90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336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Pr="00E040A1">
              <w:rPr>
                <w:rFonts w:ascii="Times New Roman" w:eastAsia="Garamond" w:hAnsi="Times New Roman" w:cs="Garamond"/>
              </w:rPr>
              <w:t>89.</w:t>
            </w:r>
            <w:r>
              <w:rPr>
                <w:rFonts w:ascii="Times New Roman" w:eastAsia="Garamond" w:hAnsi="Times New Roman" w:cs="Garamond"/>
              </w:rPr>
              <w:t>99</w:t>
            </w:r>
            <w:r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92B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852A77" w:rsidRPr="00E040A1" w14:paraId="194B29F2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00A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486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852A77" w:rsidRPr="00E040A1" w14:paraId="7675ADC3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468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C2A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852A77" w:rsidRPr="00E040A1" w14:paraId="2607B4C7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0F1F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6B6" w14:textId="77777777" w:rsidR="00852A77" w:rsidRPr="00E040A1" w:rsidRDefault="00852A77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791CCE27" w:rsidR="00562983" w:rsidRPr="00852A77" w:rsidRDefault="00562983" w:rsidP="00852A77">
      <w:pPr>
        <w:rPr>
          <w:rFonts w:eastAsia="Garamond"/>
        </w:rPr>
      </w:pPr>
    </w:p>
    <w:sectPr w:rsidR="00562983" w:rsidRPr="00852A77" w:rsidSect="00045C80">
      <w:pgSz w:w="12240" w:h="15840"/>
      <w:pgMar w:top="720" w:right="72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5445">
    <w:abstractNumId w:val="1"/>
  </w:num>
  <w:num w:numId="2" w16cid:durableId="1214194793">
    <w:abstractNumId w:val="2"/>
  </w:num>
  <w:num w:numId="3" w16cid:durableId="122194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21687"/>
    <w:rsid w:val="00045C80"/>
    <w:rsid w:val="00086E7B"/>
    <w:rsid w:val="000F4141"/>
    <w:rsid w:val="001958F9"/>
    <w:rsid w:val="001F661E"/>
    <w:rsid w:val="002476EE"/>
    <w:rsid w:val="00275156"/>
    <w:rsid w:val="00277429"/>
    <w:rsid w:val="002F23BC"/>
    <w:rsid w:val="00301E07"/>
    <w:rsid w:val="00352204"/>
    <w:rsid w:val="00390081"/>
    <w:rsid w:val="003A2A60"/>
    <w:rsid w:val="003F355B"/>
    <w:rsid w:val="00400DE7"/>
    <w:rsid w:val="004113AF"/>
    <w:rsid w:val="00426D27"/>
    <w:rsid w:val="00456921"/>
    <w:rsid w:val="00457151"/>
    <w:rsid w:val="00464480"/>
    <w:rsid w:val="00480484"/>
    <w:rsid w:val="004B6FB5"/>
    <w:rsid w:val="0054562B"/>
    <w:rsid w:val="0056286C"/>
    <w:rsid w:val="00562983"/>
    <w:rsid w:val="005E58C1"/>
    <w:rsid w:val="005F687A"/>
    <w:rsid w:val="006874DA"/>
    <w:rsid w:val="00711E37"/>
    <w:rsid w:val="00722123"/>
    <w:rsid w:val="00741681"/>
    <w:rsid w:val="007F49AA"/>
    <w:rsid w:val="00852A77"/>
    <w:rsid w:val="008A3359"/>
    <w:rsid w:val="008F33C3"/>
    <w:rsid w:val="008F4C03"/>
    <w:rsid w:val="00904A2B"/>
    <w:rsid w:val="009454E7"/>
    <w:rsid w:val="009821A8"/>
    <w:rsid w:val="009A6095"/>
    <w:rsid w:val="009C7B66"/>
    <w:rsid w:val="009F7661"/>
    <w:rsid w:val="00A14808"/>
    <w:rsid w:val="00A24FA3"/>
    <w:rsid w:val="00A40F6E"/>
    <w:rsid w:val="00A944B0"/>
    <w:rsid w:val="00B254EE"/>
    <w:rsid w:val="00B827D9"/>
    <w:rsid w:val="00C667B9"/>
    <w:rsid w:val="00D156F1"/>
    <w:rsid w:val="00D8014A"/>
    <w:rsid w:val="00DC7577"/>
    <w:rsid w:val="00E040A1"/>
    <w:rsid w:val="00E0578E"/>
    <w:rsid w:val="00E520C3"/>
    <w:rsid w:val="00EB761E"/>
    <w:rsid w:val="00ED023D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52</cp:revision>
  <dcterms:created xsi:type="dcterms:W3CDTF">2022-01-08T04:43:00Z</dcterms:created>
  <dcterms:modified xsi:type="dcterms:W3CDTF">2024-02-09T20:48:00Z</dcterms:modified>
</cp:coreProperties>
</file>